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12C" w:rsidRPr="0011612C" w:rsidRDefault="0011612C" w:rsidP="0011612C">
      <w:pPr>
        <w:spacing w:after="120" w:line="720" w:lineRule="atLeast"/>
        <w:outlineLvl w:val="0"/>
        <w:rPr>
          <w:rFonts w:ascii="&amp;quot" w:eastAsia="Times New Roman" w:hAnsi="&amp;quot" w:cs="Times New Roman"/>
          <w:b/>
          <w:bCs/>
          <w:color w:val="333333"/>
          <w:kern w:val="36"/>
          <w:sz w:val="48"/>
          <w:szCs w:val="18"/>
          <w:lang w:eastAsia="fr-FR"/>
        </w:rPr>
      </w:pPr>
      <w:r w:rsidRPr="008B17EF">
        <w:rPr>
          <w:rFonts w:ascii="&amp;quot" w:eastAsia="Times New Roman" w:hAnsi="&amp;quot" w:cs="Times New Roman"/>
          <w:b/>
          <w:bCs/>
          <w:color w:val="333333"/>
          <w:kern w:val="36"/>
          <w:sz w:val="48"/>
          <w:szCs w:val="18"/>
          <w:lang w:eastAsia="fr-FR"/>
        </w:rPr>
        <w:t xml:space="preserve">La carte de « l’accord du siècle » de </w:t>
      </w:r>
      <w:proofErr w:type="spellStart"/>
      <w:r w:rsidRPr="008B17EF">
        <w:rPr>
          <w:rFonts w:ascii="&amp;quot" w:eastAsia="Times New Roman" w:hAnsi="&amp;quot" w:cs="Times New Roman"/>
          <w:b/>
          <w:bCs/>
          <w:color w:val="333333"/>
          <w:kern w:val="36"/>
          <w:sz w:val="48"/>
          <w:szCs w:val="18"/>
          <w:lang w:eastAsia="fr-FR"/>
        </w:rPr>
        <w:t>Trump</w:t>
      </w:r>
      <w:proofErr w:type="spellEnd"/>
      <w:r w:rsidRPr="008B17EF">
        <w:rPr>
          <w:rFonts w:ascii="&amp;quot" w:eastAsia="Times New Roman" w:hAnsi="&amp;quot" w:cs="Times New Roman"/>
          <w:b/>
          <w:bCs/>
          <w:color w:val="333333"/>
          <w:kern w:val="36"/>
          <w:sz w:val="48"/>
          <w:szCs w:val="18"/>
          <w:lang w:eastAsia="fr-FR"/>
        </w:rPr>
        <w:t xml:space="preserve"> pour Israël et un futur État de Palestine</w:t>
      </w:r>
      <w:r w:rsidRPr="0011612C">
        <w:rPr>
          <w:rFonts w:ascii="&amp;quot" w:eastAsia="Times New Roman" w:hAnsi="&amp;quot" w:cs="Times New Roman"/>
          <w:b/>
          <w:bCs/>
          <w:color w:val="333333"/>
          <w:kern w:val="36"/>
          <w:sz w:val="48"/>
          <w:szCs w:val="18"/>
          <w:lang w:eastAsia="fr-FR"/>
        </w:rPr>
        <w:t xml:space="preserve"> </w:t>
      </w:r>
    </w:p>
    <w:p w:rsidR="0011612C" w:rsidRPr="0011612C" w:rsidRDefault="0011612C" w:rsidP="0011612C">
      <w:pPr>
        <w:spacing w:after="90" w:line="390" w:lineRule="atLeast"/>
        <w:rPr>
          <w:rFonts w:ascii="&amp;quot" w:eastAsia="Times New Roman" w:hAnsi="&amp;quot" w:cs="Times New Roman"/>
          <w:color w:val="333333"/>
          <w:sz w:val="36"/>
          <w:szCs w:val="36"/>
          <w:lang w:eastAsia="fr-FR"/>
        </w:rPr>
      </w:pPr>
      <w:r w:rsidRPr="0011612C">
        <w:rPr>
          <w:rFonts w:ascii="&amp;quot" w:eastAsia="Times New Roman" w:hAnsi="&amp;quot" w:cs="Times New Roman"/>
          <w:color w:val="333333"/>
          <w:sz w:val="36"/>
          <w:szCs w:val="36"/>
          <w:lang w:eastAsia="fr-FR"/>
        </w:rPr>
        <w:t>Selon les « cartes conceptuelles » publiées par la Maison-Blanche, la Cisjordanie et Gaza seraient reliées par un tunnel</w:t>
      </w:r>
    </w:p>
    <w:p w:rsidR="0011612C" w:rsidRPr="0011612C" w:rsidRDefault="0011612C" w:rsidP="0011612C">
      <w:pPr>
        <w:spacing w:after="0" w:line="240" w:lineRule="auto"/>
        <w:rPr>
          <w:rFonts w:ascii="&amp;quot" w:eastAsia="Times New Roman" w:hAnsi="&amp;quot" w:cs="Times New Roman"/>
          <w:color w:val="333333"/>
          <w:sz w:val="21"/>
          <w:szCs w:val="21"/>
          <w:lang w:eastAsia="fr-FR"/>
        </w:rPr>
      </w:pPr>
      <w:r>
        <w:rPr>
          <w:rFonts w:ascii="&amp;quot" w:eastAsia="Times New Roman" w:hAnsi="&amp;quot" w:cs="Times New Roman"/>
          <w:noProof/>
          <w:color w:val="333333"/>
          <w:sz w:val="21"/>
          <w:szCs w:val="21"/>
          <w:lang w:eastAsia="fr-FR"/>
        </w:rPr>
        <w:drawing>
          <wp:inline distT="0" distB="0" distL="0" distR="0">
            <wp:extent cx="5723536" cy="3649980"/>
            <wp:effectExtent l="0" t="0" r="0" b="7620"/>
            <wp:docPr id="10" name="Image 10" descr="https://www.middleeasteye.net/sites/default/files/styles/article_page/public/images-story/map_israel_palestine_deal_0.png?itok=_wc0y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ddleeasteye.net/sites/default/files/styles/article_page/public/images-story/map_israel_palestine_deal_0.png?itok=_wc0yaN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6598" cy="3651933"/>
                    </a:xfrm>
                    <a:prstGeom prst="rect">
                      <a:avLst/>
                    </a:prstGeom>
                    <a:noFill/>
                    <a:ln>
                      <a:noFill/>
                    </a:ln>
                  </pic:spPr>
                </pic:pic>
              </a:graphicData>
            </a:graphic>
          </wp:inline>
        </w:drawing>
      </w:r>
    </w:p>
    <w:p w:rsidR="008B17EF" w:rsidRDefault="0011612C" w:rsidP="008B17EF">
      <w:pPr>
        <w:spacing w:after="0" w:line="240" w:lineRule="auto"/>
        <w:rPr>
          <w:rFonts w:ascii="&amp;quot" w:eastAsia="Times New Roman" w:hAnsi="&amp;quot" w:cs="Times New Roman"/>
          <w:sz w:val="24"/>
          <w:szCs w:val="24"/>
          <w:lang w:eastAsia="fr-FR"/>
        </w:rPr>
      </w:pPr>
      <w:r w:rsidRPr="0011612C">
        <w:rPr>
          <w:rFonts w:ascii="Times New Roman" w:eastAsia="Times New Roman" w:hAnsi="Times New Roman" w:cs="Times New Roman"/>
          <w:b/>
          <w:bCs/>
          <w:color w:val="512F70"/>
          <w:sz w:val="30"/>
          <w:szCs w:val="30"/>
          <w:lang w:eastAsia="fr-FR"/>
        </w:rPr>
        <w:t xml:space="preserve">Par </w:t>
      </w:r>
      <w:hyperlink r:id="rId6" w:tooltip="Voir le profil utilisateur." w:history="1">
        <w:r w:rsidRPr="0011612C">
          <w:rPr>
            <w:rFonts w:ascii="&amp;quot" w:eastAsia="Times New Roman" w:hAnsi="&amp;quot" w:cs="Times New Roman"/>
            <w:b/>
            <w:bCs/>
            <w:color w:val="512F70"/>
            <w:sz w:val="30"/>
            <w:szCs w:val="30"/>
            <w:u w:val="single"/>
            <w:lang w:eastAsia="fr-FR"/>
          </w:rPr>
          <w:t>MEE</w:t>
        </w:r>
      </w:hyperlink>
      <w:r w:rsidR="008B17EF">
        <w:rPr>
          <w:rFonts w:ascii="&amp;quot" w:eastAsia="Times New Roman" w:hAnsi="&amp;quot" w:cs="Times New Roman"/>
          <w:b/>
          <w:bCs/>
          <w:color w:val="512F70"/>
          <w:sz w:val="30"/>
          <w:szCs w:val="30"/>
          <w:lang w:eastAsia="fr-FR"/>
        </w:rPr>
        <w:t xml:space="preserve"> </w:t>
      </w:r>
      <w:r w:rsidRPr="0011612C">
        <w:rPr>
          <w:rFonts w:ascii="&amp;quot" w:eastAsia="Times New Roman" w:hAnsi="&amp;quot" w:cs="Times New Roman"/>
          <w:b/>
          <w:bCs/>
          <w:sz w:val="24"/>
          <w:szCs w:val="24"/>
          <w:lang w:eastAsia="fr-FR"/>
        </w:rPr>
        <w:t>Date de publication:</w:t>
      </w:r>
      <w:r w:rsidRPr="0011612C">
        <w:rPr>
          <w:rFonts w:ascii="&amp;quot" w:eastAsia="Times New Roman" w:hAnsi="&amp;quot" w:cs="Times New Roman"/>
          <w:sz w:val="24"/>
          <w:szCs w:val="24"/>
          <w:lang w:eastAsia="fr-FR"/>
        </w:rPr>
        <w:t xml:space="preserve"> Mercredi 29 janvier 2020 - 10:23 | </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 xml:space="preserve">Le président américain Donald </w:t>
      </w:r>
      <w:proofErr w:type="spellStart"/>
      <w:r w:rsidRPr="0011612C">
        <w:rPr>
          <w:rFonts w:ascii="&amp;quot" w:eastAsia="Times New Roman" w:hAnsi="&amp;quot" w:cs="Times New Roman"/>
          <w:sz w:val="27"/>
          <w:szCs w:val="27"/>
          <w:lang w:eastAsia="fr-FR"/>
        </w:rPr>
        <w:t>Trump</w:t>
      </w:r>
      <w:proofErr w:type="spellEnd"/>
      <w:r w:rsidRPr="0011612C">
        <w:rPr>
          <w:rFonts w:ascii="&amp;quot" w:eastAsia="Times New Roman" w:hAnsi="&amp;quot" w:cs="Times New Roman"/>
          <w:sz w:val="27"/>
          <w:szCs w:val="27"/>
          <w:lang w:eastAsia="fr-FR"/>
        </w:rPr>
        <w:t xml:space="preserve"> a </w:t>
      </w:r>
      <w:hyperlink r:id="rId7" w:tgtFrame="_blank" w:history="1">
        <w:r w:rsidRPr="0011612C">
          <w:rPr>
            <w:rFonts w:ascii="&amp;quot" w:eastAsia="Times New Roman" w:hAnsi="&amp;quot" w:cs="Times New Roman"/>
            <w:color w:val="0076AF"/>
            <w:sz w:val="27"/>
            <w:szCs w:val="27"/>
            <w:u w:val="single"/>
            <w:lang w:eastAsia="fr-FR"/>
          </w:rPr>
          <w:t>dévoilé</w:t>
        </w:r>
      </w:hyperlink>
      <w:r w:rsidRPr="0011612C">
        <w:rPr>
          <w:rFonts w:ascii="&amp;quot" w:eastAsia="Times New Roman" w:hAnsi="&amp;quot" w:cs="Times New Roman"/>
          <w:sz w:val="27"/>
          <w:szCs w:val="27"/>
          <w:lang w:eastAsia="fr-FR"/>
        </w:rPr>
        <w:t xml:space="preserve"> mardi les détails de son plan censé résoudre le conflit israélo-palestinien.</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Le document de 181 pages contient des cartes conceptuelles montrant à quoi pourraient ressembler Israël et un futur État de Palestine si les Palestiniens acceptaient de signer le plan, lequel a été approuvé à la Maison-Blanche par le Premier ministre israélien Benyamin Netanyahou.</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Les dirigeants palestiniens ont déjà rejeté les propositions évoquées dans le plan.</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 xml:space="preserve">Voici à quoi ressembleraient les territoires d’Israël et de la Palestine dans le cadre du plan de </w:t>
      </w:r>
      <w:proofErr w:type="spellStart"/>
      <w:r w:rsidRPr="0011612C">
        <w:rPr>
          <w:rFonts w:ascii="&amp;quot" w:eastAsia="Times New Roman" w:hAnsi="&amp;quot" w:cs="Times New Roman"/>
          <w:sz w:val="27"/>
          <w:szCs w:val="27"/>
          <w:lang w:eastAsia="fr-FR"/>
        </w:rPr>
        <w:t>Trump</w:t>
      </w:r>
      <w:proofErr w:type="spellEnd"/>
      <w:r w:rsidRPr="0011612C">
        <w:rPr>
          <w:rFonts w:ascii="&amp;quot" w:eastAsia="Times New Roman" w:hAnsi="&amp;quot" w:cs="Times New Roman"/>
          <w:sz w:val="27"/>
          <w:szCs w:val="27"/>
          <w:lang w:eastAsia="fr-FR"/>
        </w:rPr>
        <w:t xml:space="preserve"> :</w:t>
      </w:r>
    </w:p>
    <w:p w:rsidR="0011612C" w:rsidRPr="0011612C" w:rsidRDefault="0011612C" w:rsidP="0011612C">
      <w:pPr>
        <w:spacing w:after="0" w:line="390" w:lineRule="atLeast"/>
        <w:rPr>
          <w:rFonts w:ascii="&amp;quot" w:eastAsia="Times New Roman" w:hAnsi="&amp;quot" w:cs="Times New Roman"/>
          <w:sz w:val="27"/>
          <w:szCs w:val="27"/>
          <w:lang w:eastAsia="fr-FR"/>
        </w:rPr>
      </w:pPr>
      <w:bookmarkStart w:id="0" w:name="_GoBack"/>
      <w:r>
        <w:rPr>
          <w:rFonts w:ascii="&amp;quot" w:eastAsia="Times New Roman" w:hAnsi="&amp;quot" w:cs="Times New Roman"/>
          <w:noProof/>
          <w:sz w:val="27"/>
          <w:szCs w:val="27"/>
          <w:lang w:eastAsia="fr-FR"/>
        </w:rPr>
        <w:lastRenderedPageBreak/>
        <w:drawing>
          <wp:inline distT="0" distB="0" distL="0" distR="0">
            <wp:extent cx="5925035" cy="4846320"/>
            <wp:effectExtent l="0" t="0" r="0" b="0"/>
            <wp:docPr id="3" name="Image 3" descr="Selon les « cartes conceptuelles » publiées par la Maison-Blanche, la Cisjordanie et Gaza seraient reliées par u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on les « cartes conceptuelles » publiées par la Maison-Blanche, la Cisjordanie et Gaza seraient reliées par un tunn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467" cy="4849128"/>
                    </a:xfrm>
                    <a:prstGeom prst="rect">
                      <a:avLst/>
                    </a:prstGeom>
                    <a:noFill/>
                    <a:ln>
                      <a:noFill/>
                    </a:ln>
                  </pic:spPr>
                </pic:pic>
              </a:graphicData>
            </a:graphic>
          </wp:inline>
        </w:drawing>
      </w:r>
      <w:bookmarkEnd w:id="0"/>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Selon les « cartes conceptuelles » publiées par la Maison-Blanche, la Cisjordanie et Gaza seraient reliées par un tunnel</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Les cartes montrent une série de cantons palestiniens criblés de colonies israéliennes illégales dénommées « communautés enclaves ». L’une des cartes répertorie quinze communautés de ce type, tout en soulignant que la liste « n’est pas exhaustive ».</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Certains commentateurs ont noté que la carte présentait un territoire palestinien beaucoup plus cohérent qu’il ne le serait en réalité et ne montrait nullement l’effet « archipel » tel qu’il existe sur le terrain.</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Des routes palestiniennes et israéliennes séparées relient les différentes communautés, un peu comme aujourd’hui. Les routes palestiniennes sont qualifiées de « principales ».</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Certaines zones palestiniennes sont reliées par des ponts et des tunnels, le plus important étant celui entre la Cisjordanie et la bande de Gaza.</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Au sud de Gaza, dans le désert du Néguev, se trouvent une zone pour l’« industrie manufacturière high-tech » et une zone « résidentielle et agricole ». Il n’est pas clairement précisé si celles-ci doivent être sous la souveraineté d’Israël ou faire partie d’un futur État palestinien.</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Toutes les routes entre les communautés palestiniennes sont de minces couloirs qu’il est facile de couper.</w:t>
      </w:r>
    </w:p>
    <w:p w:rsidR="0011612C" w:rsidRPr="0011612C" w:rsidRDefault="0011612C" w:rsidP="008B17EF">
      <w:pPr>
        <w:spacing w:after="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lastRenderedPageBreak/>
        <w:t>Quatre triangles marquent des « sites stratégiques » – vraisemblablement des bases militaires israéliennes. Ils semblent tous être soit à l’intérieur des cantons palestiniens, soit à côté.</w:t>
      </w:r>
    </w:p>
    <w:p w:rsidR="0011612C" w:rsidRPr="0011612C" w:rsidRDefault="0011612C" w:rsidP="008B17EF">
      <w:pPr>
        <w:spacing w:after="390" w:line="240" w:lineRule="auto"/>
        <w:jc w:val="both"/>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À proximité des villes méditerranéennes de Haïfa et d’Ashdod apparaissent de grandes icônes en forme d’</w:t>
      </w:r>
      <w:proofErr w:type="spellStart"/>
      <w:r w:rsidRPr="0011612C">
        <w:rPr>
          <w:rFonts w:ascii="&amp;quot" w:eastAsia="Times New Roman" w:hAnsi="&amp;quot" w:cs="Times New Roman"/>
          <w:sz w:val="27"/>
          <w:szCs w:val="27"/>
          <w:lang w:eastAsia="fr-FR"/>
        </w:rPr>
        <w:t>ancre</w:t>
      </w:r>
      <w:proofErr w:type="spellEnd"/>
      <w:r w:rsidRPr="0011612C">
        <w:rPr>
          <w:rFonts w:ascii="&amp;quot" w:eastAsia="Times New Roman" w:hAnsi="&amp;quot" w:cs="Times New Roman"/>
          <w:sz w:val="27"/>
          <w:szCs w:val="27"/>
          <w:lang w:eastAsia="fr-FR"/>
        </w:rPr>
        <w:t>. Des accès portuaires pour les Palestiniens, apparemment.</w:t>
      </w:r>
    </w:p>
    <w:p w:rsidR="0011612C" w:rsidRPr="0011612C" w:rsidRDefault="0011612C" w:rsidP="0011612C">
      <w:pPr>
        <w:spacing w:after="0" w:line="240" w:lineRule="auto"/>
        <w:outlineLvl w:val="2"/>
        <w:rPr>
          <w:rFonts w:ascii="&amp;quot" w:eastAsia="Times New Roman" w:hAnsi="&amp;quot" w:cs="Times New Roman"/>
          <w:b/>
          <w:bCs/>
          <w:color w:val="51336F"/>
          <w:sz w:val="36"/>
          <w:szCs w:val="36"/>
          <w:lang w:eastAsia="fr-FR"/>
        </w:rPr>
      </w:pPr>
      <w:r w:rsidRPr="0011612C">
        <w:rPr>
          <w:rFonts w:ascii="&amp;quot" w:eastAsia="Times New Roman" w:hAnsi="&amp;quot" w:cs="Times New Roman"/>
          <w:b/>
          <w:bCs/>
          <w:color w:val="51336F"/>
          <w:sz w:val="36"/>
          <w:szCs w:val="36"/>
          <w:lang w:eastAsia="fr-FR"/>
        </w:rPr>
        <w:t>Affaire conclue : comment la Palestine a été liquidée par le processus de paix</w:t>
      </w:r>
    </w:p>
    <w:p w:rsidR="0011612C" w:rsidRPr="0011612C" w:rsidRDefault="0011612C" w:rsidP="0011612C">
      <w:pPr>
        <w:spacing w:after="0" w:line="390" w:lineRule="atLeast"/>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 xml:space="preserve">+ Show </w:t>
      </w:r>
    </w:p>
    <w:p w:rsidR="0011612C" w:rsidRDefault="0011612C" w:rsidP="008B17EF">
      <w:pPr>
        <w:spacing w:after="0" w:line="240" w:lineRule="auto"/>
        <w:rPr>
          <w:rFonts w:ascii="&amp;quot" w:eastAsia="Times New Roman" w:hAnsi="&amp;quot" w:cs="Times New Roman"/>
          <w:i/>
          <w:iCs/>
          <w:lang w:eastAsia="fr-FR"/>
        </w:rPr>
      </w:pPr>
      <w:r w:rsidRPr="008B17EF">
        <w:rPr>
          <w:rFonts w:ascii="&amp;quot" w:eastAsia="Times New Roman" w:hAnsi="&amp;quot" w:cs="Times New Roman"/>
          <w:i/>
          <w:iCs/>
          <w:lang w:eastAsia="fr-FR"/>
        </w:rPr>
        <w:t xml:space="preserve">Cet article fait partie d’une série intitulée </w:t>
      </w:r>
      <w:hyperlink r:id="rId9" w:tgtFrame="_blank" w:history="1">
        <w:r w:rsidRPr="008B17EF">
          <w:rPr>
            <w:rFonts w:ascii="&amp;quot" w:eastAsia="Times New Roman" w:hAnsi="&amp;quot" w:cs="Times New Roman"/>
            <w:i/>
            <w:iCs/>
            <w:color w:val="0076AF"/>
            <w:u w:val="single"/>
            <w:lang w:eastAsia="fr-FR"/>
          </w:rPr>
          <w:t>« Affaire conclue »</w:t>
        </w:r>
      </w:hyperlink>
      <w:r w:rsidRPr="008B17EF">
        <w:rPr>
          <w:rFonts w:ascii="&amp;quot" w:eastAsia="Times New Roman" w:hAnsi="&amp;quot" w:cs="Times New Roman"/>
          <w:i/>
          <w:iCs/>
          <w:lang w:eastAsia="fr-FR"/>
        </w:rPr>
        <w:t xml:space="preserve"> publiée par </w:t>
      </w:r>
      <w:r w:rsidRPr="0011612C">
        <w:rPr>
          <w:rFonts w:ascii="&amp;quot" w:eastAsia="Times New Roman" w:hAnsi="&amp;quot" w:cs="Times New Roman"/>
          <w:lang w:eastAsia="fr-FR"/>
        </w:rPr>
        <w:t>Middle East Eye</w:t>
      </w:r>
      <w:r w:rsidRPr="008B17EF">
        <w:rPr>
          <w:rFonts w:ascii="&amp;quot" w:eastAsia="Times New Roman" w:hAnsi="&amp;quot" w:cs="Times New Roman"/>
          <w:i/>
          <w:iCs/>
          <w:lang w:eastAsia="fr-FR"/>
        </w:rPr>
        <w:t xml:space="preserve"> qui examine combien des éléments attendus dans le soi-disant « accord du siècle » du président américain Donald </w:t>
      </w:r>
      <w:proofErr w:type="spellStart"/>
      <w:r w:rsidRPr="008B17EF">
        <w:rPr>
          <w:rFonts w:ascii="&amp;quot" w:eastAsia="Times New Roman" w:hAnsi="&amp;quot" w:cs="Times New Roman"/>
          <w:i/>
          <w:iCs/>
          <w:lang w:eastAsia="fr-FR"/>
        </w:rPr>
        <w:t>Trump</w:t>
      </w:r>
      <w:proofErr w:type="spellEnd"/>
      <w:r w:rsidRPr="008B17EF">
        <w:rPr>
          <w:rFonts w:ascii="&amp;quot" w:eastAsia="Times New Roman" w:hAnsi="&amp;quot" w:cs="Times New Roman"/>
          <w:i/>
          <w:iCs/>
          <w:lang w:eastAsia="fr-FR"/>
        </w:rPr>
        <w:t xml:space="preserve"> reflètent une réalité déjà ancrée concrètement sur le terrain. Une réalité dans laquelle le territoire palestinien est déjà </w:t>
      </w:r>
      <w:hyperlink r:id="rId10" w:tgtFrame="_blank" w:history="1">
        <w:r w:rsidRPr="008B17EF">
          <w:rPr>
            <w:rFonts w:ascii="&amp;quot" w:eastAsia="Times New Roman" w:hAnsi="&amp;quot" w:cs="Times New Roman"/>
            <w:i/>
            <w:iCs/>
            <w:color w:val="0076AF"/>
            <w:u w:val="single"/>
            <w:lang w:eastAsia="fr-FR"/>
          </w:rPr>
          <w:t xml:space="preserve">annexé </w:t>
        </w:r>
      </w:hyperlink>
      <w:r w:rsidRPr="008B17EF">
        <w:rPr>
          <w:rFonts w:ascii="&amp;quot" w:eastAsia="Times New Roman" w:hAnsi="&amp;quot" w:cs="Times New Roman"/>
          <w:i/>
          <w:iCs/>
          <w:lang w:eastAsia="fr-FR"/>
        </w:rPr>
        <w:t xml:space="preserve">dans les faits, dans laquelle les </w:t>
      </w:r>
      <w:hyperlink r:id="rId11" w:tgtFrame="_blank" w:history="1">
        <w:r w:rsidRPr="008B17EF">
          <w:rPr>
            <w:rFonts w:ascii="&amp;quot" w:eastAsia="Times New Roman" w:hAnsi="&amp;quot" w:cs="Times New Roman"/>
            <w:i/>
            <w:iCs/>
            <w:color w:val="0076AF"/>
            <w:u w:val="single"/>
            <w:lang w:eastAsia="fr-FR"/>
          </w:rPr>
          <w:t xml:space="preserve">réfugiés </w:t>
        </w:r>
      </w:hyperlink>
      <w:r w:rsidRPr="008B17EF">
        <w:rPr>
          <w:rFonts w:ascii="&amp;quot" w:eastAsia="Times New Roman" w:hAnsi="&amp;quot" w:cs="Times New Roman"/>
          <w:i/>
          <w:iCs/>
          <w:lang w:eastAsia="fr-FR"/>
        </w:rPr>
        <w:t xml:space="preserve">n’ont aucune chance de retourner un jour dans leur patrie, dans laquelle la vieille ville de </w:t>
      </w:r>
      <w:hyperlink r:id="rId12" w:tgtFrame="_blank" w:history="1">
        <w:r w:rsidRPr="008B17EF">
          <w:rPr>
            <w:rFonts w:ascii="&amp;quot" w:eastAsia="Times New Roman" w:hAnsi="&amp;quot" w:cs="Times New Roman"/>
            <w:i/>
            <w:iCs/>
            <w:color w:val="0076AF"/>
            <w:u w:val="single"/>
            <w:lang w:eastAsia="fr-FR"/>
          </w:rPr>
          <w:t xml:space="preserve">Jérusalem </w:t>
        </w:r>
      </w:hyperlink>
      <w:r w:rsidRPr="008B17EF">
        <w:rPr>
          <w:rFonts w:ascii="&amp;quot" w:eastAsia="Times New Roman" w:hAnsi="&amp;quot" w:cs="Times New Roman"/>
          <w:i/>
          <w:iCs/>
          <w:lang w:eastAsia="fr-FR"/>
        </w:rPr>
        <w:t xml:space="preserve">est sous contrôle israélien, dans laquelle les menaces et incitations financières servent à saper l’opposition palestinienne au statu quo et dans laquelle la bande de </w:t>
      </w:r>
      <w:hyperlink r:id="rId13" w:tgtFrame="_blank" w:history="1">
        <w:r w:rsidRPr="008B17EF">
          <w:rPr>
            <w:rFonts w:ascii="&amp;quot" w:eastAsia="Times New Roman" w:hAnsi="&amp;quot" w:cs="Times New Roman"/>
            <w:i/>
            <w:iCs/>
            <w:color w:val="0076AF"/>
            <w:u w:val="single"/>
            <w:lang w:eastAsia="fr-FR"/>
          </w:rPr>
          <w:t xml:space="preserve">Gaza </w:t>
        </w:r>
      </w:hyperlink>
      <w:r w:rsidRPr="008B17EF">
        <w:rPr>
          <w:rFonts w:ascii="&amp;quot" w:eastAsia="Times New Roman" w:hAnsi="&amp;quot" w:cs="Times New Roman"/>
          <w:i/>
          <w:iCs/>
          <w:lang w:eastAsia="fr-FR"/>
        </w:rPr>
        <w:t>est maintenue en état de siège permanent.</w:t>
      </w:r>
    </w:p>
    <w:p w:rsidR="008B17EF" w:rsidRPr="0011612C" w:rsidRDefault="008B17EF" w:rsidP="008B17EF">
      <w:pPr>
        <w:spacing w:after="0" w:line="240" w:lineRule="auto"/>
        <w:rPr>
          <w:rFonts w:ascii="&amp;quot" w:eastAsia="Times New Roman" w:hAnsi="&amp;quot" w:cs="Times New Roman"/>
          <w:lang w:eastAsia="fr-FR"/>
        </w:rPr>
      </w:pP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Jérusalem, marquée par une étoile sur la carte d’Israël mais seulement par un point sur la carte palestinienne, « restera indivisée à l’ouest de la barrière de sécurité ».</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Le statu quo sur le complexe d’al-</w:t>
      </w:r>
      <w:proofErr w:type="spellStart"/>
      <w:r w:rsidRPr="0011612C">
        <w:rPr>
          <w:rFonts w:ascii="&amp;quot" w:eastAsia="Times New Roman" w:hAnsi="&amp;quot" w:cs="Times New Roman"/>
          <w:sz w:val="27"/>
          <w:szCs w:val="27"/>
          <w:lang w:eastAsia="fr-FR"/>
        </w:rPr>
        <w:t>Aqsa</w:t>
      </w:r>
      <w:proofErr w:type="spellEnd"/>
      <w:r w:rsidRPr="0011612C">
        <w:rPr>
          <w:rFonts w:ascii="&amp;quot" w:eastAsia="Times New Roman" w:hAnsi="&amp;quot" w:cs="Times New Roman"/>
          <w:sz w:val="27"/>
          <w:szCs w:val="27"/>
          <w:lang w:eastAsia="fr-FR"/>
        </w:rPr>
        <w:t xml:space="preserve"> sera maintenu, selon l’une des cartes. Mais « tous les musulmans qui viennent en paix seront les bienvenus pour visiter et prier à la mosquée al-</w:t>
      </w:r>
      <w:proofErr w:type="spellStart"/>
      <w:r w:rsidRPr="0011612C">
        <w:rPr>
          <w:rFonts w:ascii="&amp;quot" w:eastAsia="Times New Roman" w:hAnsi="&amp;quot" w:cs="Times New Roman"/>
          <w:sz w:val="27"/>
          <w:szCs w:val="27"/>
          <w:lang w:eastAsia="fr-FR"/>
        </w:rPr>
        <w:t>Aqsa</w:t>
      </w:r>
      <w:proofErr w:type="spellEnd"/>
      <w:r w:rsidRPr="0011612C">
        <w:rPr>
          <w:rFonts w:ascii="&amp;quot" w:eastAsia="Times New Roman" w:hAnsi="&amp;quot" w:cs="Times New Roman"/>
          <w:sz w:val="27"/>
          <w:szCs w:val="27"/>
          <w:lang w:eastAsia="fr-FR"/>
        </w:rPr>
        <w:t> ».</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 La représentation des frontières n’est pas nécessairement fiable », préviennent les deux cartes. En effet, au nord par exemple, la frontière libanaise n’est signalée que par des pointillés marquant la ligne d’armistice de 1949.</w:t>
      </w:r>
    </w:p>
    <w:p w:rsidR="0011612C" w:rsidRPr="0011612C" w:rsidRDefault="0011612C" w:rsidP="008B17EF">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t>Des « conditions générales » s’appliquent, nous rappelle également la carte palestinienne.</w:t>
      </w:r>
    </w:p>
    <w:p w:rsidR="00BA44F7" w:rsidRDefault="00BA44F7" w:rsidP="00BA44F7">
      <w:pPr>
        <w:spacing w:after="0" w:line="240" w:lineRule="auto"/>
        <w:rPr>
          <w:rFonts w:ascii="&amp;quot" w:eastAsia="Times New Roman" w:hAnsi="&amp;quot" w:cs="Times New Roman"/>
          <w:sz w:val="27"/>
          <w:szCs w:val="27"/>
          <w:lang w:eastAsia="fr-FR"/>
        </w:rPr>
      </w:pPr>
      <w:r>
        <w:rPr>
          <w:rFonts w:ascii="&amp;quot" w:eastAsia="Times New Roman" w:hAnsi="&amp;quot" w:cs="Times New Roman"/>
          <w:sz w:val="27"/>
          <w:szCs w:val="27"/>
          <w:lang w:eastAsia="fr-FR"/>
        </w:rPr>
        <w:br w:type="page"/>
      </w:r>
    </w:p>
    <w:p w:rsidR="0011612C" w:rsidRPr="0011612C" w:rsidRDefault="0011612C" w:rsidP="00BA44F7">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lastRenderedPageBreak/>
        <w:t>La première carte s’intitule « L’État d’Israël ».</w:t>
      </w:r>
    </w:p>
    <w:p w:rsidR="0011612C" w:rsidRPr="0011612C" w:rsidRDefault="0011612C" w:rsidP="0011612C">
      <w:pPr>
        <w:spacing w:after="0" w:line="390" w:lineRule="atLeast"/>
        <w:rPr>
          <w:rFonts w:ascii="&amp;quot" w:eastAsia="Times New Roman" w:hAnsi="&amp;quot" w:cs="Times New Roman"/>
          <w:sz w:val="27"/>
          <w:szCs w:val="27"/>
          <w:lang w:eastAsia="fr-FR"/>
        </w:rPr>
      </w:pPr>
      <w:r>
        <w:rPr>
          <w:rFonts w:ascii="&amp;quot" w:eastAsia="Times New Roman" w:hAnsi="&amp;quot" w:cs="Times New Roman"/>
          <w:noProof/>
          <w:sz w:val="27"/>
          <w:szCs w:val="27"/>
          <w:lang w:eastAsia="fr-FR"/>
        </w:rPr>
        <w:drawing>
          <wp:inline distT="0" distB="0" distL="0" distR="0">
            <wp:extent cx="5177335" cy="8511540"/>
            <wp:effectExtent l="0" t="0" r="4445" b="3810"/>
            <wp:docPr id="2" name="Image 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920" cy="8512502"/>
                    </a:xfrm>
                    <a:prstGeom prst="rect">
                      <a:avLst/>
                    </a:prstGeom>
                    <a:noFill/>
                    <a:ln>
                      <a:noFill/>
                    </a:ln>
                  </pic:spPr>
                </pic:pic>
              </a:graphicData>
            </a:graphic>
          </wp:inline>
        </w:drawing>
      </w:r>
    </w:p>
    <w:p w:rsidR="00BA44F7" w:rsidRPr="00BA44F7" w:rsidRDefault="00BA44F7" w:rsidP="00BA44F7">
      <w:pPr>
        <w:spacing w:after="0"/>
        <w:rPr>
          <w:rFonts w:ascii="&amp;quot" w:eastAsia="Times New Roman" w:hAnsi="&amp;quot" w:cs="Times New Roman"/>
          <w:sz w:val="21"/>
          <w:szCs w:val="20"/>
          <w:lang w:eastAsia="fr-FR"/>
        </w:rPr>
      </w:pPr>
      <w:r w:rsidRPr="00BA44F7">
        <w:rPr>
          <w:rFonts w:ascii="&amp;quot" w:eastAsia="Times New Roman" w:hAnsi="&amp;quot" w:cs="Times New Roman"/>
          <w:sz w:val="21"/>
          <w:szCs w:val="20"/>
          <w:lang w:eastAsia="fr-FR"/>
        </w:rPr>
        <w:br w:type="page"/>
      </w:r>
    </w:p>
    <w:p w:rsidR="0011612C" w:rsidRPr="0011612C" w:rsidRDefault="0011612C" w:rsidP="00BA44F7">
      <w:pPr>
        <w:spacing w:after="0" w:line="240" w:lineRule="auto"/>
        <w:rPr>
          <w:rFonts w:ascii="&amp;quot" w:eastAsia="Times New Roman" w:hAnsi="&amp;quot" w:cs="Times New Roman"/>
          <w:sz w:val="27"/>
          <w:szCs w:val="27"/>
          <w:lang w:eastAsia="fr-FR"/>
        </w:rPr>
      </w:pPr>
      <w:r w:rsidRPr="0011612C">
        <w:rPr>
          <w:rFonts w:ascii="&amp;quot" w:eastAsia="Times New Roman" w:hAnsi="&amp;quot" w:cs="Times New Roman"/>
          <w:sz w:val="27"/>
          <w:szCs w:val="27"/>
          <w:lang w:eastAsia="fr-FR"/>
        </w:rPr>
        <w:lastRenderedPageBreak/>
        <w:t>La deuxième est intitulée « Un futur État de Palestine ».</w:t>
      </w:r>
    </w:p>
    <w:p w:rsidR="0011612C" w:rsidRPr="0011612C" w:rsidRDefault="0011612C" w:rsidP="00BA44F7">
      <w:pPr>
        <w:spacing w:after="0" w:line="240" w:lineRule="auto"/>
        <w:rPr>
          <w:rFonts w:ascii="&amp;quot" w:eastAsia="Times New Roman" w:hAnsi="&amp;quot" w:cs="Times New Roman"/>
          <w:sz w:val="27"/>
          <w:szCs w:val="27"/>
          <w:lang w:eastAsia="fr-FR"/>
        </w:rPr>
      </w:pPr>
      <w:r>
        <w:rPr>
          <w:rFonts w:ascii="&amp;quot" w:eastAsia="Times New Roman" w:hAnsi="&amp;quot" w:cs="Times New Roman"/>
          <w:noProof/>
          <w:sz w:val="27"/>
          <w:szCs w:val="27"/>
          <w:lang w:eastAsia="fr-FR"/>
        </w:rPr>
        <w:drawing>
          <wp:inline distT="0" distB="0" distL="0" distR="0">
            <wp:extent cx="5100514" cy="8336280"/>
            <wp:effectExtent l="0" t="0" r="5080" b="7620"/>
            <wp:docPr id="1" name="Image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0635" cy="8336478"/>
                    </a:xfrm>
                    <a:prstGeom prst="rect">
                      <a:avLst/>
                    </a:prstGeom>
                    <a:noFill/>
                    <a:ln>
                      <a:noFill/>
                    </a:ln>
                  </pic:spPr>
                </pic:pic>
              </a:graphicData>
            </a:graphic>
          </wp:inline>
        </w:drawing>
      </w:r>
    </w:p>
    <w:p w:rsidR="00EC0545" w:rsidRPr="00BA44F7" w:rsidRDefault="0011612C" w:rsidP="00BA44F7">
      <w:pPr>
        <w:spacing w:after="0" w:line="390" w:lineRule="atLeast"/>
        <w:rPr>
          <w:rFonts w:ascii="&amp;quot" w:eastAsia="Times New Roman" w:hAnsi="&amp;quot" w:cs="Times New Roman"/>
          <w:sz w:val="27"/>
          <w:szCs w:val="27"/>
          <w:lang w:eastAsia="fr-FR"/>
        </w:rPr>
      </w:pPr>
      <w:r w:rsidRPr="0011612C">
        <w:rPr>
          <w:rFonts w:ascii="&amp;quot" w:eastAsia="Times New Roman" w:hAnsi="&amp;quot" w:cs="Times New Roman"/>
          <w:i/>
          <w:iCs/>
          <w:sz w:val="27"/>
          <w:szCs w:val="27"/>
          <w:lang w:eastAsia="fr-FR"/>
        </w:rPr>
        <w:t>Traduit de l’anglais (</w:t>
      </w:r>
      <w:hyperlink r:id="rId16" w:tgtFrame="_blank" w:history="1">
        <w:r w:rsidRPr="0011612C">
          <w:rPr>
            <w:rFonts w:ascii="&amp;quot" w:eastAsia="Times New Roman" w:hAnsi="&amp;quot" w:cs="Times New Roman"/>
            <w:i/>
            <w:iCs/>
            <w:color w:val="0076AF"/>
            <w:sz w:val="27"/>
            <w:szCs w:val="27"/>
            <w:u w:val="single"/>
            <w:lang w:eastAsia="fr-FR"/>
          </w:rPr>
          <w:t>original</w:t>
        </w:r>
      </w:hyperlink>
      <w:r w:rsidRPr="0011612C">
        <w:rPr>
          <w:rFonts w:ascii="&amp;quot" w:eastAsia="Times New Roman" w:hAnsi="&amp;quot" w:cs="Times New Roman"/>
          <w:i/>
          <w:iCs/>
          <w:sz w:val="27"/>
          <w:szCs w:val="27"/>
          <w:lang w:eastAsia="fr-FR"/>
        </w:rPr>
        <w:t>).</w:t>
      </w:r>
    </w:p>
    <w:sectPr w:rsidR="00EC0545" w:rsidRPr="00BA44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12C"/>
    <w:rsid w:val="0011612C"/>
    <w:rsid w:val="004D4E21"/>
    <w:rsid w:val="008B17EF"/>
    <w:rsid w:val="009E09CA"/>
    <w:rsid w:val="00BA44F7"/>
    <w:rsid w:val="00C953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161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11612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612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11612C"/>
    <w:rPr>
      <w:rFonts w:ascii="Times New Roman" w:eastAsia="Times New Roman" w:hAnsi="Times New Roman" w:cs="Times New Roman"/>
      <w:b/>
      <w:bCs/>
      <w:sz w:val="27"/>
      <w:szCs w:val="27"/>
      <w:lang w:eastAsia="fr-FR"/>
    </w:rPr>
  </w:style>
  <w:style w:type="character" w:customStyle="1" w:styleId="field">
    <w:name w:val="field"/>
    <w:basedOn w:val="Policepardfaut"/>
    <w:rsid w:val="0011612C"/>
  </w:style>
  <w:style w:type="character" w:customStyle="1" w:styleId="author-by">
    <w:name w:val="author-by"/>
    <w:basedOn w:val="Policepardfaut"/>
    <w:rsid w:val="0011612C"/>
  </w:style>
  <w:style w:type="character" w:styleId="Lienhypertexte">
    <w:name w:val="Hyperlink"/>
    <w:basedOn w:val="Policepardfaut"/>
    <w:uiPriority w:val="99"/>
    <w:semiHidden/>
    <w:unhideWhenUsed/>
    <w:rsid w:val="0011612C"/>
    <w:rPr>
      <w:color w:val="0000FF"/>
      <w:u w:val="single"/>
    </w:rPr>
  </w:style>
  <w:style w:type="character" w:customStyle="1" w:styleId="date-created">
    <w:name w:val="date-created"/>
    <w:basedOn w:val="Policepardfaut"/>
    <w:rsid w:val="0011612C"/>
  </w:style>
  <w:style w:type="character" w:customStyle="1" w:styleId="date-separator">
    <w:name w:val="date-separator"/>
    <w:basedOn w:val="Policepardfaut"/>
    <w:rsid w:val="0011612C"/>
  </w:style>
  <w:style w:type="character" w:customStyle="1" w:styleId="date-updated">
    <w:name w:val="date-updated"/>
    <w:basedOn w:val="Policepardfaut"/>
    <w:rsid w:val="0011612C"/>
  </w:style>
  <w:style w:type="character" w:customStyle="1" w:styleId="st-label">
    <w:name w:val="st-label"/>
    <w:basedOn w:val="Policepardfaut"/>
    <w:rsid w:val="0011612C"/>
  </w:style>
  <w:style w:type="character" w:customStyle="1" w:styleId="st-shares">
    <w:name w:val="st-shares"/>
    <w:basedOn w:val="Policepardfaut"/>
    <w:rsid w:val="0011612C"/>
  </w:style>
  <w:style w:type="paragraph" w:styleId="NormalWeb">
    <w:name w:val="Normal (Web)"/>
    <w:basedOn w:val="Normal"/>
    <w:uiPriority w:val="99"/>
    <w:semiHidden/>
    <w:unhideWhenUsed/>
    <w:rsid w:val="001161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1612C"/>
    <w:rPr>
      <w:i/>
      <w:iCs/>
    </w:rPr>
  </w:style>
  <w:style w:type="paragraph" w:styleId="Textedebulles">
    <w:name w:val="Balloon Text"/>
    <w:basedOn w:val="Normal"/>
    <w:link w:val="TextedebullesCar"/>
    <w:uiPriority w:val="99"/>
    <w:semiHidden/>
    <w:unhideWhenUsed/>
    <w:rsid w:val="001161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1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161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11612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612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11612C"/>
    <w:rPr>
      <w:rFonts w:ascii="Times New Roman" w:eastAsia="Times New Roman" w:hAnsi="Times New Roman" w:cs="Times New Roman"/>
      <w:b/>
      <w:bCs/>
      <w:sz w:val="27"/>
      <w:szCs w:val="27"/>
      <w:lang w:eastAsia="fr-FR"/>
    </w:rPr>
  </w:style>
  <w:style w:type="character" w:customStyle="1" w:styleId="field">
    <w:name w:val="field"/>
    <w:basedOn w:val="Policepardfaut"/>
    <w:rsid w:val="0011612C"/>
  </w:style>
  <w:style w:type="character" w:customStyle="1" w:styleId="author-by">
    <w:name w:val="author-by"/>
    <w:basedOn w:val="Policepardfaut"/>
    <w:rsid w:val="0011612C"/>
  </w:style>
  <w:style w:type="character" w:styleId="Lienhypertexte">
    <w:name w:val="Hyperlink"/>
    <w:basedOn w:val="Policepardfaut"/>
    <w:uiPriority w:val="99"/>
    <w:semiHidden/>
    <w:unhideWhenUsed/>
    <w:rsid w:val="0011612C"/>
    <w:rPr>
      <w:color w:val="0000FF"/>
      <w:u w:val="single"/>
    </w:rPr>
  </w:style>
  <w:style w:type="character" w:customStyle="1" w:styleId="date-created">
    <w:name w:val="date-created"/>
    <w:basedOn w:val="Policepardfaut"/>
    <w:rsid w:val="0011612C"/>
  </w:style>
  <w:style w:type="character" w:customStyle="1" w:styleId="date-separator">
    <w:name w:val="date-separator"/>
    <w:basedOn w:val="Policepardfaut"/>
    <w:rsid w:val="0011612C"/>
  </w:style>
  <w:style w:type="character" w:customStyle="1" w:styleId="date-updated">
    <w:name w:val="date-updated"/>
    <w:basedOn w:val="Policepardfaut"/>
    <w:rsid w:val="0011612C"/>
  </w:style>
  <w:style w:type="character" w:customStyle="1" w:styleId="st-label">
    <w:name w:val="st-label"/>
    <w:basedOn w:val="Policepardfaut"/>
    <w:rsid w:val="0011612C"/>
  </w:style>
  <w:style w:type="character" w:customStyle="1" w:styleId="st-shares">
    <w:name w:val="st-shares"/>
    <w:basedOn w:val="Policepardfaut"/>
    <w:rsid w:val="0011612C"/>
  </w:style>
  <w:style w:type="paragraph" w:styleId="NormalWeb">
    <w:name w:val="Normal (Web)"/>
    <w:basedOn w:val="Normal"/>
    <w:uiPriority w:val="99"/>
    <w:semiHidden/>
    <w:unhideWhenUsed/>
    <w:rsid w:val="001161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1612C"/>
    <w:rPr>
      <w:i/>
      <w:iCs/>
    </w:rPr>
  </w:style>
  <w:style w:type="paragraph" w:styleId="Textedebulles">
    <w:name w:val="Balloon Text"/>
    <w:basedOn w:val="Normal"/>
    <w:link w:val="TextedebullesCar"/>
    <w:uiPriority w:val="99"/>
    <w:semiHidden/>
    <w:unhideWhenUsed/>
    <w:rsid w:val="001161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1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99601">
      <w:bodyDiv w:val="1"/>
      <w:marLeft w:val="0"/>
      <w:marRight w:val="0"/>
      <w:marTop w:val="0"/>
      <w:marBottom w:val="0"/>
      <w:divBdr>
        <w:top w:val="none" w:sz="0" w:space="0" w:color="auto"/>
        <w:left w:val="none" w:sz="0" w:space="0" w:color="auto"/>
        <w:bottom w:val="none" w:sz="0" w:space="0" w:color="auto"/>
        <w:right w:val="none" w:sz="0" w:space="0" w:color="auto"/>
      </w:divBdr>
      <w:divsChild>
        <w:div w:id="1444151466">
          <w:marLeft w:val="0"/>
          <w:marRight w:val="0"/>
          <w:marTop w:val="0"/>
          <w:marBottom w:val="0"/>
          <w:divBdr>
            <w:top w:val="none" w:sz="0" w:space="0" w:color="auto"/>
            <w:left w:val="none" w:sz="0" w:space="0" w:color="auto"/>
            <w:bottom w:val="none" w:sz="0" w:space="0" w:color="auto"/>
            <w:right w:val="none" w:sz="0" w:space="0" w:color="auto"/>
          </w:divBdr>
        </w:div>
        <w:div w:id="1970891953">
          <w:marLeft w:val="0"/>
          <w:marRight w:val="0"/>
          <w:marTop w:val="0"/>
          <w:marBottom w:val="90"/>
          <w:divBdr>
            <w:top w:val="none" w:sz="0" w:space="0" w:color="auto"/>
            <w:left w:val="none" w:sz="0" w:space="0" w:color="auto"/>
            <w:bottom w:val="none" w:sz="0" w:space="0" w:color="auto"/>
            <w:right w:val="none" w:sz="0" w:space="0" w:color="auto"/>
          </w:divBdr>
        </w:div>
        <w:div w:id="1612468297">
          <w:marLeft w:val="0"/>
          <w:marRight w:val="0"/>
          <w:marTop w:val="0"/>
          <w:marBottom w:val="0"/>
          <w:divBdr>
            <w:top w:val="none" w:sz="0" w:space="0" w:color="auto"/>
            <w:left w:val="none" w:sz="0" w:space="0" w:color="auto"/>
            <w:bottom w:val="none" w:sz="0" w:space="0" w:color="auto"/>
            <w:right w:val="none" w:sz="0" w:space="0" w:color="auto"/>
          </w:divBdr>
        </w:div>
        <w:div w:id="1456485308">
          <w:marLeft w:val="0"/>
          <w:marRight w:val="0"/>
          <w:marTop w:val="0"/>
          <w:marBottom w:val="0"/>
          <w:divBdr>
            <w:top w:val="none" w:sz="0" w:space="0" w:color="auto"/>
            <w:left w:val="none" w:sz="0" w:space="0" w:color="auto"/>
            <w:bottom w:val="none" w:sz="0" w:space="0" w:color="auto"/>
            <w:right w:val="none" w:sz="0" w:space="0" w:color="auto"/>
          </w:divBdr>
          <w:divsChild>
            <w:div w:id="773326430">
              <w:marLeft w:val="0"/>
              <w:marRight w:val="0"/>
              <w:marTop w:val="0"/>
              <w:marBottom w:val="0"/>
              <w:divBdr>
                <w:top w:val="none" w:sz="0" w:space="0" w:color="auto"/>
                <w:left w:val="none" w:sz="0" w:space="0" w:color="auto"/>
                <w:bottom w:val="none" w:sz="0" w:space="0" w:color="auto"/>
                <w:right w:val="none" w:sz="0" w:space="0" w:color="auto"/>
              </w:divBdr>
            </w:div>
          </w:divsChild>
        </w:div>
        <w:div w:id="1365785671">
          <w:marLeft w:val="0"/>
          <w:marRight w:val="0"/>
          <w:marTop w:val="0"/>
          <w:marBottom w:val="0"/>
          <w:divBdr>
            <w:top w:val="none" w:sz="0" w:space="0" w:color="auto"/>
            <w:left w:val="none" w:sz="0" w:space="0" w:color="auto"/>
            <w:bottom w:val="none" w:sz="0" w:space="0" w:color="auto"/>
            <w:right w:val="none" w:sz="0" w:space="0" w:color="auto"/>
          </w:divBdr>
        </w:div>
        <w:div w:id="1586111900">
          <w:marLeft w:val="0"/>
          <w:marRight w:val="0"/>
          <w:marTop w:val="0"/>
          <w:marBottom w:val="0"/>
          <w:divBdr>
            <w:top w:val="none" w:sz="0" w:space="0" w:color="auto"/>
            <w:left w:val="none" w:sz="0" w:space="0" w:color="auto"/>
            <w:bottom w:val="none" w:sz="0" w:space="0" w:color="auto"/>
            <w:right w:val="none" w:sz="0" w:space="0" w:color="auto"/>
          </w:divBdr>
          <w:divsChild>
            <w:div w:id="133955863">
              <w:marLeft w:val="0"/>
              <w:marRight w:val="0"/>
              <w:marTop w:val="0"/>
              <w:marBottom w:val="0"/>
              <w:divBdr>
                <w:top w:val="none" w:sz="0" w:space="0" w:color="auto"/>
                <w:left w:val="none" w:sz="0" w:space="0" w:color="auto"/>
                <w:bottom w:val="none" w:sz="0" w:space="0" w:color="auto"/>
                <w:right w:val="none" w:sz="0" w:space="0" w:color="auto"/>
              </w:divBdr>
              <w:divsChild>
                <w:div w:id="140119435">
                  <w:marLeft w:val="0"/>
                  <w:marRight w:val="0"/>
                  <w:marTop w:val="0"/>
                  <w:marBottom w:val="0"/>
                  <w:divBdr>
                    <w:top w:val="none" w:sz="0" w:space="0" w:color="auto"/>
                    <w:left w:val="none" w:sz="0" w:space="0" w:color="auto"/>
                    <w:bottom w:val="none" w:sz="0" w:space="0" w:color="auto"/>
                    <w:right w:val="none" w:sz="0" w:space="0" w:color="auto"/>
                  </w:divBdr>
                  <w:divsChild>
                    <w:div w:id="448201418">
                      <w:marLeft w:val="0"/>
                      <w:marRight w:val="120"/>
                      <w:marTop w:val="0"/>
                      <w:marBottom w:val="0"/>
                      <w:divBdr>
                        <w:top w:val="none" w:sz="0" w:space="0" w:color="auto"/>
                        <w:left w:val="none" w:sz="0" w:space="0" w:color="auto"/>
                        <w:bottom w:val="none" w:sz="0" w:space="0" w:color="auto"/>
                        <w:right w:val="none" w:sz="0" w:space="0" w:color="auto"/>
                      </w:divBdr>
                    </w:div>
                    <w:div w:id="348455354">
                      <w:marLeft w:val="0"/>
                      <w:marRight w:val="120"/>
                      <w:marTop w:val="0"/>
                      <w:marBottom w:val="0"/>
                      <w:divBdr>
                        <w:top w:val="none" w:sz="0" w:space="0" w:color="auto"/>
                        <w:left w:val="none" w:sz="0" w:space="0" w:color="auto"/>
                        <w:bottom w:val="none" w:sz="0" w:space="0" w:color="auto"/>
                        <w:right w:val="none" w:sz="0" w:space="0" w:color="auto"/>
                      </w:divBdr>
                    </w:div>
                    <w:div w:id="904611656">
                      <w:marLeft w:val="0"/>
                      <w:marRight w:val="120"/>
                      <w:marTop w:val="0"/>
                      <w:marBottom w:val="0"/>
                      <w:divBdr>
                        <w:top w:val="none" w:sz="0" w:space="0" w:color="auto"/>
                        <w:left w:val="none" w:sz="0" w:space="0" w:color="auto"/>
                        <w:bottom w:val="none" w:sz="0" w:space="0" w:color="auto"/>
                        <w:right w:val="none" w:sz="0" w:space="0" w:color="auto"/>
                      </w:divBdr>
                    </w:div>
                    <w:div w:id="594635480">
                      <w:marLeft w:val="0"/>
                      <w:marRight w:val="120"/>
                      <w:marTop w:val="0"/>
                      <w:marBottom w:val="0"/>
                      <w:divBdr>
                        <w:top w:val="none" w:sz="0" w:space="0" w:color="auto"/>
                        <w:left w:val="none" w:sz="0" w:space="0" w:color="auto"/>
                        <w:bottom w:val="none" w:sz="0" w:space="0" w:color="auto"/>
                        <w:right w:val="none" w:sz="0" w:space="0" w:color="auto"/>
                      </w:divBdr>
                    </w:div>
                    <w:div w:id="2945470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17159852">
              <w:marLeft w:val="0"/>
              <w:marRight w:val="0"/>
              <w:marTop w:val="45"/>
              <w:marBottom w:val="0"/>
              <w:divBdr>
                <w:top w:val="none" w:sz="0" w:space="0" w:color="auto"/>
                <w:left w:val="none" w:sz="0" w:space="0" w:color="auto"/>
                <w:bottom w:val="none" w:sz="0" w:space="0" w:color="auto"/>
                <w:right w:val="none" w:sz="0" w:space="0" w:color="auto"/>
              </w:divBdr>
              <w:divsChild>
                <w:div w:id="447284101">
                  <w:marLeft w:val="0"/>
                  <w:marRight w:val="0"/>
                  <w:marTop w:val="0"/>
                  <w:marBottom w:val="0"/>
                  <w:divBdr>
                    <w:top w:val="none" w:sz="0" w:space="0" w:color="auto"/>
                    <w:left w:val="none" w:sz="0" w:space="0" w:color="auto"/>
                    <w:bottom w:val="none" w:sz="0" w:space="0" w:color="auto"/>
                    <w:right w:val="none" w:sz="0" w:space="0" w:color="auto"/>
                  </w:divBdr>
                  <w:divsChild>
                    <w:div w:id="1674410854">
                      <w:marLeft w:val="0"/>
                      <w:marRight w:val="0"/>
                      <w:marTop w:val="0"/>
                      <w:marBottom w:val="0"/>
                      <w:divBdr>
                        <w:top w:val="none" w:sz="0" w:space="0" w:color="auto"/>
                        <w:left w:val="none" w:sz="0" w:space="0" w:color="auto"/>
                        <w:bottom w:val="none" w:sz="0" w:space="0" w:color="auto"/>
                        <w:right w:val="none" w:sz="0" w:space="0" w:color="auto"/>
                      </w:divBdr>
                    </w:div>
                  </w:divsChild>
                </w:div>
                <w:div w:id="1006400760">
                  <w:marLeft w:val="0"/>
                  <w:marRight w:val="0"/>
                  <w:marTop w:val="420"/>
                  <w:marBottom w:val="420"/>
                  <w:divBdr>
                    <w:top w:val="single" w:sz="36" w:space="17" w:color="F9F7F5"/>
                    <w:left w:val="single" w:sz="36" w:space="17" w:color="F9F7F5"/>
                    <w:bottom w:val="single" w:sz="36" w:space="17" w:color="F9F7F5"/>
                    <w:right w:val="single" w:sz="36" w:space="17" w:color="F9F7F5"/>
                  </w:divBdr>
                  <w:divsChild>
                    <w:div w:id="1225994301">
                      <w:marLeft w:val="0"/>
                      <w:marRight w:val="0"/>
                      <w:marTop w:val="0"/>
                      <w:marBottom w:val="0"/>
                      <w:divBdr>
                        <w:top w:val="none" w:sz="0" w:space="0" w:color="auto"/>
                        <w:left w:val="none" w:sz="0" w:space="0" w:color="auto"/>
                        <w:bottom w:val="none" w:sz="0" w:space="0" w:color="auto"/>
                        <w:right w:val="none" w:sz="0" w:space="0" w:color="auto"/>
                      </w:divBdr>
                      <w:divsChild>
                        <w:div w:id="1769307527">
                          <w:marLeft w:val="0"/>
                          <w:marRight w:val="0"/>
                          <w:marTop w:val="0"/>
                          <w:marBottom w:val="0"/>
                          <w:divBdr>
                            <w:top w:val="none" w:sz="0" w:space="0" w:color="auto"/>
                            <w:left w:val="none" w:sz="0" w:space="0" w:color="auto"/>
                            <w:bottom w:val="none" w:sz="0" w:space="0" w:color="auto"/>
                            <w:right w:val="none" w:sz="0" w:space="0" w:color="auto"/>
                          </w:divBdr>
                          <w:divsChild>
                            <w:div w:id="356543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61201129">
                  <w:marLeft w:val="0"/>
                  <w:marRight w:val="0"/>
                  <w:marTop w:val="0"/>
                  <w:marBottom w:val="0"/>
                  <w:divBdr>
                    <w:top w:val="none" w:sz="0" w:space="0" w:color="auto"/>
                    <w:left w:val="none" w:sz="0" w:space="0" w:color="auto"/>
                    <w:bottom w:val="none" w:sz="0" w:space="0" w:color="auto"/>
                    <w:right w:val="none" w:sz="0" w:space="0" w:color="auto"/>
                  </w:divBdr>
                </w:div>
                <w:div w:id="255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iddleeasteye.net/fr/en-bref/gaza-lenclave-palestinienne-asphyxie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iddleeasteye.net/fr/node/157211" TargetMode="External"/><Relationship Id="rId12" Type="http://schemas.openxmlformats.org/officeDocument/2006/relationships/hyperlink" Target="https://www.middleeasteye.net/fr/en-bref/vieille-ville-de-jerusalem-comment-le-passe-de-la-palestine-est-lentement-efface"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middleeasteye.net/news/revealed-trumps-deal-century-map-future-palestine-israel" TargetMode="External"/><Relationship Id="rId1" Type="http://schemas.openxmlformats.org/officeDocument/2006/relationships/styles" Target="styles.xml"/><Relationship Id="rId6" Type="http://schemas.openxmlformats.org/officeDocument/2006/relationships/hyperlink" Target="https://www.middleeasteye.net/fr/users/mee" TargetMode="External"/><Relationship Id="rId11" Type="http://schemas.openxmlformats.org/officeDocument/2006/relationships/hyperlink" Target="https://www.middleeasteye.net/fr/en-bref/refugies-l-accord-du-siecle-de-trump-est-voue-lechec"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www.middleeasteye.net/fr/en-bref/annexion-israel-controle-deja-plus-de-la-moitie-de-la-cisjordanie" TargetMode="External"/><Relationship Id="rId4" Type="http://schemas.openxmlformats.org/officeDocument/2006/relationships/webSettings" Target="webSettings.xml"/><Relationship Id="rId9" Type="http://schemas.openxmlformats.org/officeDocument/2006/relationships/hyperlink" Target="https://www.middleeasteye.net/fr/en-bref/affaire-conclue-comment-la-palestine-ete-liquidee-par-le-processus-de-paix"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783</Words>
  <Characters>4312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BEAUNE</dc:creator>
  <cp:keywords/>
  <dc:description/>
  <cp:lastModifiedBy>Maurice BEAUNE</cp:lastModifiedBy>
  <cp:revision>2</cp:revision>
  <dcterms:created xsi:type="dcterms:W3CDTF">2020-01-29T14:38:00Z</dcterms:created>
  <dcterms:modified xsi:type="dcterms:W3CDTF">2020-01-29T15:06:00Z</dcterms:modified>
</cp:coreProperties>
</file>